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0" distT="0" distL="0" distR="0" hidden="0" layoutInCell="1" locked="0" relativeHeight="0" simplePos="0">
            <wp:simplePos x="0" y="0"/>
            <wp:positionH relativeFrom="margin">
              <wp:posOffset>3452813</wp:posOffset>
            </wp:positionH>
            <wp:positionV relativeFrom="margin">
              <wp:posOffset>-447674</wp:posOffset>
            </wp:positionV>
            <wp:extent cx="1323975" cy="1085850"/>
            <wp:effectExtent b="0" l="0" r="0" t="0"/>
            <wp:wrapNone/>
            <wp:docPr id="1" name="image1.png"/>
            <a:graphic>
              <a:graphicData uri="http://schemas.openxmlformats.org/drawingml/2006/picture">
                <pic:pic>
                  <pic:nvPicPr>
                    <pic:cNvPr id="0" name="image1.png"/>
                    <pic:cNvPicPr preferRelativeResize="0"/>
                  </pic:nvPicPr>
                  <pic:blipFill>
                    <a:blip r:embed="rId6"/>
                    <a:srcRect b="11627" l="0" r="0" t="0"/>
                    <a:stretch>
                      <a:fillRect/>
                    </a:stretch>
                  </pic:blipFill>
                  <pic:spPr>
                    <a:xfrm>
                      <a:off x="0" y="0"/>
                      <a:ext cx="1323975" cy="10858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8"/>
          <w:szCs w:val="8"/>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eorgia" w:cs="Georgia" w:eastAsia="Georgia" w:hAnsi="Georgia"/>
          <w:b w:val="1"/>
          <w:color w:val="17365d"/>
          <w:sz w:val="52.08000183105469"/>
          <w:szCs w:val="52.08000183105469"/>
        </w:rPr>
      </w:pPr>
      <w:r w:rsidDel="00000000" w:rsidR="00000000" w:rsidRPr="00000000">
        <w:rPr>
          <w:rFonts w:ascii="Georgia" w:cs="Georgia" w:eastAsia="Georgia" w:hAnsi="Georgia"/>
          <w:b w:val="1"/>
          <w:color w:val="17365d"/>
          <w:sz w:val="52.08000183105469"/>
          <w:szCs w:val="52.08000183105469"/>
          <w:rtl w:val="0"/>
        </w:rPr>
        <w:t xml:space="preserve">2025-2026 Coronado Truancy Policy</w:t>
      </w:r>
    </w:p>
    <w:p w:rsidR="00000000" w:rsidDel="00000000" w:rsidP="00000000" w:rsidRDefault="00000000" w:rsidRPr="00000000" w14:paraId="00000007">
      <w:pPr>
        <w:widowControl w:val="0"/>
        <w:spacing w:line="240" w:lineRule="auto"/>
        <w:jc w:val="center"/>
        <w:rPr>
          <w:rFonts w:ascii="Georgia" w:cs="Georgia" w:eastAsia="Georgia" w:hAnsi="Georgia"/>
          <w:color w:val="17365d"/>
          <w:sz w:val="28.080001831054688"/>
          <w:szCs w:val="28.080001831054688"/>
        </w:rPr>
      </w:pPr>
      <w:r w:rsidDel="00000000" w:rsidR="00000000" w:rsidRPr="00000000">
        <w:rPr>
          <w:rtl w:val="0"/>
        </w:rPr>
      </w:r>
    </w:p>
    <w:p w:rsidR="00000000" w:rsidDel="00000000" w:rsidP="00000000" w:rsidRDefault="00000000" w:rsidRPr="00000000" w14:paraId="00000008">
      <w:pPr>
        <w:widowControl w:val="0"/>
        <w:spacing w:line="240" w:lineRule="auto"/>
        <w:rPr>
          <w:rFonts w:ascii="Georgia" w:cs="Georgia" w:eastAsia="Georgia" w:hAnsi="Georgia"/>
          <w:color w:val="17365d"/>
          <w:sz w:val="30"/>
          <w:szCs w:val="30"/>
        </w:rPr>
      </w:pPr>
      <w:r w:rsidDel="00000000" w:rsidR="00000000" w:rsidRPr="00000000">
        <w:rPr>
          <w:rFonts w:ascii="Georgia" w:cs="Georgia" w:eastAsia="Georgia" w:hAnsi="Georgia"/>
          <w:color w:val="17365d"/>
          <w:sz w:val="30"/>
          <w:szCs w:val="30"/>
          <w:rtl w:val="0"/>
        </w:rPr>
        <w:t xml:space="preserve">Truancy is defined as: student who is absent from school for one or more class periods during the day without the written approval of their teacher or principal of the school, unless the student is physically or mentally unable to attend. </w:t>
      </w:r>
    </w:p>
    <w:p w:rsidR="00000000" w:rsidDel="00000000" w:rsidP="00000000" w:rsidRDefault="00000000" w:rsidRPr="00000000" w14:paraId="00000009">
      <w:pPr>
        <w:widowControl w:val="0"/>
        <w:spacing w:line="240" w:lineRule="auto"/>
        <w:jc w:val="center"/>
        <w:rPr>
          <w:rFonts w:ascii="Georgia" w:cs="Georgia" w:eastAsia="Georgia" w:hAnsi="Georgia"/>
          <w:color w:val="17365d"/>
          <w:sz w:val="30"/>
          <w:szCs w:val="30"/>
        </w:rPr>
      </w:pPr>
      <w:r w:rsidDel="00000000" w:rsidR="00000000" w:rsidRPr="00000000">
        <w:rPr>
          <w:rtl w:val="0"/>
        </w:rPr>
      </w:r>
    </w:p>
    <w:p w:rsidR="00000000" w:rsidDel="00000000" w:rsidP="00000000" w:rsidRDefault="00000000" w:rsidRPr="00000000" w14:paraId="0000000A">
      <w:pPr>
        <w:widowControl w:val="0"/>
        <w:spacing w:line="240" w:lineRule="auto"/>
        <w:rPr>
          <w:rFonts w:ascii="Georgia" w:cs="Georgia" w:eastAsia="Georgia" w:hAnsi="Georgia"/>
          <w:b w:val="1"/>
          <w:color w:val="ff0000"/>
          <w:sz w:val="30"/>
          <w:szCs w:val="30"/>
          <w:highlight w:val="white"/>
        </w:rPr>
      </w:pPr>
      <w:r w:rsidDel="00000000" w:rsidR="00000000" w:rsidRPr="00000000">
        <w:rPr>
          <w:rFonts w:ascii="Georgia" w:cs="Georgia" w:eastAsia="Georgia" w:hAnsi="Georgia"/>
          <w:b w:val="1"/>
          <w:color w:val="ff0000"/>
          <w:sz w:val="30"/>
          <w:szCs w:val="30"/>
          <w:highlight w:val="white"/>
          <w:rtl w:val="0"/>
        </w:rPr>
        <w:t xml:space="preserve">Students who are off-campus are considered “truant” and must return through the main entrance theater lobby. </w:t>
      </w:r>
    </w:p>
    <w:p w:rsidR="00000000" w:rsidDel="00000000" w:rsidP="00000000" w:rsidRDefault="00000000" w:rsidRPr="00000000" w14:paraId="0000000B">
      <w:pPr>
        <w:widowControl w:val="0"/>
        <w:spacing w:line="240" w:lineRule="auto"/>
        <w:jc w:val="left"/>
        <w:rPr>
          <w:rFonts w:ascii="Georgia" w:cs="Georgia" w:eastAsia="Georgia" w:hAnsi="Georgia"/>
          <w:b w:val="1"/>
          <w:color w:val="17365d"/>
          <w:sz w:val="30"/>
          <w:szCs w:val="30"/>
        </w:rPr>
      </w:pPr>
      <w:r w:rsidDel="00000000" w:rsidR="00000000" w:rsidRPr="00000000">
        <w:rPr>
          <w:rtl w:val="0"/>
        </w:rPr>
      </w:r>
    </w:p>
    <w:tbl>
      <w:tblPr>
        <w:tblStyle w:val="Table1"/>
        <w:tblW w:w="1389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565"/>
        <w:gridCol w:w="11325"/>
        <w:tblGridChange w:id="0">
          <w:tblGrid>
            <w:gridCol w:w="2565"/>
            <w:gridCol w:w="11325"/>
          </w:tblGrid>
        </w:tblGridChange>
      </w:tblGrid>
      <w:tr>
        <w:trPr>
          <w:cantSplit w:val="0"/>
          <w:trHeight w:val="541.89473684210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Georgia" w:cs="Georgia" w:eastAsia="Georgia" w:hAnsi="Georgia"/>
                <w:b w:val="1"/>
                <w:color w:val="17365d"/>
                <w:sz w:val="30"/>
                <w:szCs w:val="30"/>
              </w:rPr>
            </w:pPr>
            <w:r w:rsidDel="00000000" w:rsidR="00000000" w:rsidRPr="00000000">
              <w:rPr>
                <w:rFonts w:ascii="Georgia" w:cs="Georgia" w:eastAsia="Georgia" w:hAnsi="Georgia"/>
                <w:b w:val="1"/>
                <w:color w:val="17365d"/>
                <w:sz w:val="30"/>
                <w:szCs w:val="30"/>
                <w:rtl w:val="0"/>
              </w:rPr>
              <w:t xml:space="preserve">1</w:t>
            </w:r>
            <w:r w:rsidDel="00000000" w:rsidR="00000000" w:rsidRPr="00000000">
              <w:rPr>
                <w:rFonts w:ascii="Georgia" w:cs="Georgia" w:eastAsia="Georgia" w:hAnsi="Georgia"/>
                <w:b w:val="1"/>
                <w:color w:val="17365d"/>
                <w:sz w:val="30"/>
                <w:szCs w:val="30"/>
                <w:vertAlign w:val="superscript"/>
                <w:rtl w:val="0"/>
              </w:rPr>
              <w:t xml:space="preserve">st </w:t>
            </w:r>
            <w:r w:rsidDel="00000000" w:rsidR="00000000" w:rsidRPr="00000000">
              <w:rPr>
                <w:rFonts w:ascii="Georgia" w:cs="Georgia" w:eastAsia="Georgia" w:hAnsi="Georgia"/>
                <w:b w:val="1"/>
                <w:color w:val="17365d"/>
                <w:sz w:val="30"/>
                <w:szCs w:val="30"/>
                <w:rtl w:val="0"/>
              </w:rPr>
              <w:t xml:space="preserve"> Truancy</w:t>
            </w:r>
            <w:r w:rsidDel="00000000" w:rsidR="00000000" w:rsidRPr="00000000">
              <w:rPr>
                <w:rFonts w:ascii="Georgia" w:cs="Georgia" w:eastAsia="Georgia" w:hAnsi="Georgia"/>
                <w:b w:val="1"/>
                <w:color w:val="17365d"/>
                <w:sz w:val="30"/>
                <w:szCs w:val="3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Georgia" w:cs="Georgia" w:eastAsia="Georgia" w:hAnsi="Georgia"/>
                <w:b w:val="1"/>
                <w:color w:val="ff0000"/>
                <w:sz w:val="30"/>
                <w:szCs w:val="30"/>
              </w:rPr>
            </w:pPr>
            <w:r w:rsidDel="00000000" w:rsidR="00000000" w:rsidRPr="00000000">
              <w:rPr>
                <w:rFonts w:ascii="Georgia" w:cs="Georgia" w:eastAsia="Georgia" w:hAnsi="Georgia"/>
                <w:b w:val="1"/>
                <w:color w:val="ff0000"/>
                <w:sz w:val="30"/>
                <w:szCs w:val="30"/>
                <w:rtl w:val="0"/>
              </w:rPr>
              <w:t xml:space="preserve">Warning/Parentlink Notification/Conference Call  </w:t>
            </w:r>
          </w:p>
        </w:tc>
      </w:tr>
      <w:tr>
        <w:trPr>
          <w:cantSplit w:val="0"/>
          <w:trHeight w:val="492.63157894736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Georgia" w:cs="Georgia" w:eastAsia="Georgia" w:hAnsi="Georgia"/>
                <w:b w:val="1"/>
                <w:color w:val="17365d"/>
                <w:sz w:val="30"/>
                <w:szCs w:val="30"/>
              </w:rPr>
            </w:pPr>
            <w:r w:rsidDel="00000000" w:rsidR="00000000" w:rsidRPr="00000000">
              <w:rPr>
                <w:rFonts w:ascii="Georgia" w:cs="Georgia" w:eastAsia="Georgia" w:hAnsi="Georgia"/>
                <w:b w:val="1"/>
                <w:color w:val="17365d"/>
                <w:sz w:val="30"/>
                <w:szCs w:val="30"/>
                <w:rtl w:val="0"/>
              </w:rPr>
              <w:t xml:space="preserve">2</w:t>
            </w:r>
            <w:r w:rsidDel="00000000" w:rsidR="00000000" w:rsidRPr="00000000">
              <w:rPr>
                <w:rFonts w:ascii="Georgia" w:cs="Georgia" w:eastAsia="Georgia" w:hAnsi="Georgia"/>
                <w:b w:val="1"/>
                <w:color w:val="17365d"/>
                <w:sz w:val="30"/>
                <w:szCs w:val="30"/>
                <w:vertAlign w:val="superscript"/>
                <w:rtl w:val="0"/>
              </w:rPr>
              <w:t xml:space="preserve">nd </w:t>
            </w:r>
            <w:r w:rsidDel="00000000" w:rsidR="00000000" w:rsidRPr="00000000">
              <w:rPr>
                <w:rFonts w:ascii="Georgia" w:cs="Georgia" w:eastAsia="Georgia" w:hAnsi="Georgia"/>
                <w:b w:val="1"/>
                <w:color w:val="17365d"/>
                <w:sz w:val="30"/>
                <w:szCs w:val="30"/>
                <w:rtl w:val="0"/>
              </w:rPr>
              <w:t xml:space="preserve">Truancy</w:t>
            </w:r>
            <w:r w:rsidDel="00000000" w:rsidR="00000000" w:rsidRPr="00000000">
              <w:rPr>
                <w:rFonts w:ascii="Georgia" w:cs="Georgia" w:eastAsia="Georgia" w:hAnsi="Georgia"/>
                <w:b w:val="1"/>
                <w:sz w:val="30"/>
                <w:szCs w:val="3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Georgia" w:cs="Georgia" w:eastAsia="Georgia" w:hAnsi="Georgia"/>
                <w:b w:val="1"/>
                <w:color w:val="ff0000"/>
                <w:sz w:val="30"/>
                <w:szCs w:val="30"/>
              </w:rPr>
            </w:pPr>
            <w:r w:rsidDel="00000000" w:rsidR="00000000" w:rsidRPr="00000000">
              <w:rPr>
                <w:rFonts w:ascii="Georgia" w:cs="Georgia" w:eastAsia="Georgia" w:hAnsi="Georgia"/>
                <w:b w:val="1"/>
                <w:color w:val="ff0000"/>
                <w:sz w:val="30"/>
                <w:szCs w:val="30"/>
                <w:rtl w:val="0"/>
              </w:rPr>
              <w:t xml:space="preserve"> After School Detention/Parentlink Notification/Safety Search</w:t>
            </w:r>
          </w:p>
        </w:tc>
      </w:tr>
      <w:tr>
        <w:trPr>
          <w:cantSplit w:val="0"/>
          <w:trHeight w:val="492.63157894736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rFonts w:ascii="Georgia" w:cs="Georgia" w:eastAsia="Georgia" w:hAnsi="Georgia"/>
                <w:b w:val="1"/>
                <w:color w:val="17365d"/>
                <w:sz w:val="30"/>
                <w:szCs w:val="30"/>
              </w:rPr>
            </w:pPr>
            <w:r w:rsidDel="00000000" w:rsidR="00000000" w:rsidRPr="00000000">
              <w:rPr>
                <w:rFonts w:ascii="Georgia" w:cs="Georgia" w:eastAsia="Georgia" w:hAnsi="Georgia"/>
                <w:b w:val="1"/>
                <w:color w:val="17365d"/>
                <w:sz w:val="30"/>
                <w:szCs w:val="30"/>
                <w:rtl w:val="0"/>
              </w:rPr>
              <w:t xml:space="preserve">3</w:t>
            </w:r>
            <w:r w:rsidDel="00000000" w:rsidR="00000000" w:rsidRPr="00000000">
              <w:rPr>
                <w:rFonts w:ascii="Georgia" w:cs="Georgia" w:eastAsia="Georgia" w:hAnsi="Georgia"/>
                <w:b w:val="1"/>
                <w:color w:val="17365d"/>
                <w:sz w:val="30"/>
                <w:szCs w:val="30"/>
                <w:vertAlign w:val="superscript"/>
                <w:rtl w:val="0"/>
              </w:rPr>
              <w:t xml:space="preserve">rd </w:t>
            </w:r>
            <w:r w:rsidDel="00000000" w:rsidR="00000000" w:rsidRPr="00000000">
              <w:rPr>
                <w:rFonts w:ascii="Georgia" w:cs="Georgia" w:eastAsia="Georgia" w:hAnsi="Georgia"/>
                <w:b w:val="1"/>
                <w:color w:val="17365d"/>
                <w:sz w:val="30"/>
                <w:szCs w:val="30"/>
                <w:rtl w:val="0"/>
              </w:rPr>
              <w:t xml:space="preserve">Truancy</w:t>
            </w:r>
            <w:r w:rsidDel="00000000" w:rsidR="00000000" w:rsidRPr="00000000">
              <w:rPr>
                <w:rFonts w:ascii="Georgia" w:cs="Georgia" w:eastAsia="Georgia" w:hAnsi="Georgia"/>
                <w:b w:val="1"/>
                <w:sz w:val="30"/>
                <w:szCs w:val="3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Georgia" w:cs="Georgia" w:eastAsia="Georgia" w:hAnsi="Georgia"/>
                <w:b w:val="1"/>
                <w:color w:val="ff0000"/>
                <w:sz w:val="30"/>
                <w:szCs w:val="30"/>
              </w:rPr>
            </w:pPr>
            <w:r w:rsidDel="00000000" w:rsidR="00000000" w:rsidRPr="00000000">
              <w:rPr>
                <w:rFonts w:ascii="Georgia" w:cs="Georgia" w:eastAsia="Georgia" w:hAnsi="Georgia"/>
                <w:b w:val="1"/>
                <w:color w:val="ff0000"/>
                <w:sz w:val="30"/>
                <w:szCs w:val="30"/>
                <w:rtl w:val="0"/>
              </w:rPr>
              <w:t xml:space="preserve">Parentlink Notification/1-Day of In-House Safety Search</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Georgia" w:cs="Georgia" w:eastAsia="Georgia" w:hAnsi="Georgia"/>
                <w:b w:val="1"/>
                <w:sz w:val="30"/>
                <w:szCs w:val="30"/>
              </w:rPr>
            </w:pPr>
            <w:r w:rsidDel="00000000" w:rsidR="00000000" w:rsidRPr="00000000">
              <w:rPr>
                <w:rFonts w:ascii="Georgia" w:cs="Georgia" w:eastAsia="Georgia" w:hAnsi="Georgia"/>
                <w:b w:val="1"/>
                <w:color w:val="17365d"/>
                <w:sz w:val="30"/>
                <w:szCs w:val="30"/>
                <w:rtl w:val="0"/>
              </w:rPr>
              <w:t xml:space="preserve">4</w:t>
            </w:r>
            <w:r w:rsidDel="00000000" w:rsidR="00000000" w:rsidRPr="00000000">
              <w:rPr>
                <w:rFonts w:ascii="Georgia" w:cs="Georgia" w:eastAsia="Georgia" w:hAnsi="Georgia"/>
                <w:b w:val="1"/>
                <w:color w:val="17365d"/>
                <w:sz w:val="30"/>
                <w:szCs w:val="30"/>
                <w:vertAlign w:val="superscript"/>
                <w:rtl w:val="0"/>
              </w:rPr>
              <w:t xml:space="preserve">th </w:t>
            </w:r>
            <w:r w:rsidDel="00000000" w:rsidR="00000000" w:rsidRPr="00000000">
              <w:rPr>
                <w:rFonts w:ascii="Georgia" w:cs="Georgia" w:eastAsia="Georgia" w:hAnsi="Georgia"/>
                <w:b w:val="1"/>
                <w:color w:val="17365d"/>
                <w:sz w:val="30"/>
                <w:szCs w:val="30"/>
                <w:rtl w:val="0"/>
              </w:rPr>
              <w:t xml:space="preserve">Truancy</w:t>
            </w:r>
            <w:r w:rsidDel="00000000" w:rsidR="00000000" w:rsidRPr="00000000">
              <w:rPr>
                <w:rFonts w:ascii="Georgia" w:cs="Georgia" w:eastAsia="Georgia" w:hAnsi="Georgia"/>
                <w:b w:val="1"/>
                <w:sz w:val="30"/>
                <w:szCs w:val="3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Georgia" w:cs="Georgia" w:eastAsia="Georgia" w:hAnsi="Georgia"/>
                <w:b w:val="1"/>
                <w:color w:val="ff0000"/>
                <w:sz w:val="30"/>
                <w:szCs w:val="30"/>
              </w:rPr>
            </w:pPr>
            <w:r w:rsidDel="00000000" w:rsidR="00000000" w:rsidRPr="00000000">
              <w:rPr>
                <w:rFonts w:ascii="Georgia" w:cs="Georgia" w:eastAsia="Georgia" w:hAnsi="Georgia"/>
                <w:b w:val="1"/>
                <w:color w:val="ff0000"/>
                <w:sz w:val="30"/>
                <w:szCs w:val="30"/>
                <w:rtl w:val="0"/>
              </w:rPr>
              <w:t xml:space="preserve">Insubordination/ Parentlink Notification/Parent Conference/3-days IHS </w:t>
            </w:r>
          </w:p>
        </w:tc>
      </w:tr>
      <w:tr>
        <w:trPr>
          <w:cantSplit w:val="0"/>
          <w:trHeight w:val="492.63157894736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Georgia" w:cs="Georgia" w:eastAsia="Georgia" w:hAnsi="Georgia"/>
                <w:b w:val="1"/>
                <w:color w:val="17365d"/>
                <w:sz w:val="30"/>
                <w:szCs w:val="30"/>
              </w:rPr>
            </w:pPr>
            <w:r w:rsidDel="00000000" w:rsidR="00000000" w:rsidRPr="00000000">
              <w:rPr>
                <w:rFonts w:ascii="Georgia" w:cs="Georgia" w:eastAsia="Georgia" w:hAnsi="Georgia"/>
                <w:b w:val="1"/>
                <w:color w:val="17365d"/>
                <w:sz w:val="30"/>
                <w:szCs w:val="30"/>
                <w:rtl w:val="0"/>
              </w:rPr>
              <w:t xml:space="preserve">5</w:t>
            </w:r>
            <w:r w:rsidDel="00000000" w:rsidR="00000000" w:rsidRPr="00000000">
              <w:rPr>
                <w:rFonts w:ascii="Georgia" w:cs="Georgia" w:eastAsia="Georgia" w:hAnsi="Georgia"/>
                <w:b w:val="1"/>
                <w:color w:val="17365d"/>
                <w:sz w:val="30"/>
                <w:szCs w:val="30"/>
                <w:vertAlign w:val="superscript"/>
                <w:rtl w:val="0"/>
              </w:rPr>
              <w:t xml:space="preserve">th </w:t>
            </w:r>
            <w:r w:rsidDel="00000000" w:rsidR="00000000" w:rsidRPr="00000000">
              <w:rPr>
                <w:rFonts w:ascii="Georgia" w:cs="Georgia" w:eastAsia="Georgia" w:hAnsi="Georgia"/>
                <w:b w:val="1"/>
                <w:color w:val="17365d"/>
                <w:sz w:val="30"/>
                <w:szCs w:val="30"/>
                <w:rtl w:val="0"/>
              </w:rPr>
              <w:t xml:space="preserve">Truancy</w:t>
            </w:r>
            <w:r w:rsidDel="00000000" w:rsidR="00000000" w:rsidRPr="00000000">
              <w:rPr>
                <w:rFonts w:ascii="Georgia" w:cs="Georgia" w:eastAsia="Georgia" w:hAnsi="Georgia"/>
                <w:b w:val="1"/>
                <w:sz w:val="30"/>
                <w:szCs w:val="3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Georgia" w:cs="Georgia" w:eastAsia="Georgia" w:hAnsi="Georgia"/>
                <w:b w:val="1"/>
                <w:color w:val="ff0000"/>
                <w:sz w:val="30"/>
                <w:szCs w:val="30"/>
              </w:rPr>
            </w:pPr>
            <w:r w:rsidDel="00000000" w:rsidR="00000000" w:rsidRPr="00000000">
              <w:rPr>
                <w:rFonts w:ascii="Georgia" w:cs="Georgia" w:eastAsia="Georgia" w:hAnsi="Georgia"/>
                <w:b w:val="1"/>
                <w:color w:val="ff0000"/>
                <w:sz w:val="30"/>
                <w:szCs w:val="30"/>
                <w:rtl w:val="0"/>
              </w:rPr>
              <w:t xml:space="preserve">Insubordination / Parentlink Notification 10-Day Star-On </w:t>
            </w:r>
          </w:p>
        </w:tc>
      </w:tr>
    </w:tbl>
    <w:p w:rsidR="00000000" w:rsidDel="00000000" w:rsidP="00000000" w:rsidRDefault="00000000" w:rsidRPr="00000000" w14:paraId="00000016">
      <w:pPr>
        <w:jc w:val="left"/>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17">
      <w:pPr>
        <w:numPr>
          <w:ilvl w:val="0"/>
          <w:numId w:val="1"/>
        </w:numPr>
        <w:ind w:left="720" w:hanging="360"/>
        <w:jc w:val="left"/>
        <w:rPr>
          <w:rFonts w:ascii="Georgia" w:cs="Georgia" w:eastAsia="Georgia" w:hAnsi="Georgia"/>
          <w:color w:val="17365d"/>
          <w:sz w:val="24"/>
          <w:szCs w:val="24"/>
        </w:rPr>
      </w:pPr>
      <w:r w:rsidDel="00000000" w:rsidR="00000000" w:rsidRPr="00000000">
        <w:rPr>
          <w:rFonts w:ascii="Georgia" w:cs="Georgia" w:eastAsia="Georgia" w:hAnsi="Georgia"/>
          <w:color w:val="17365d"/>
          <w:sz w:val="24"/>
          <w:szCs w:val="24"/>
          <w:rtl w:val="0"/>
        </w:rPr>
        <w:t xml:space="preserve">Truancy accumulates from 1</w:t>
      </w:r>
      <w:r w:rsidDel="00000000" w:rsidR="00000000" w:rsidRPr="00000000">
        <w:rPr>
          <w:rFonts w:ascii="Georgia" w:cs="Georgia" w:eastAsia="Georgia" w:hAnsi="Georgia"/>
          <w:color w:val="17365d"/>
          <w:sz w:val="24"/>
          <w:szCs w:val="24"/>
          <w:vertAlign w:val="superscript"/>
          <w:rtl w:val="0"/>
        </w:rPr>
        <w:t xml:space="preserve">st </w:t>
      </w:r>
      <w:r w:rsidDel="00000000" w:rsidR="00000000" w:rsidRPr="00000000">
        <w:rPr>
          <w:rFonts w:ascii="Georgia" w:cs="Georgia" w:eastAsia="Georgia" w:hAnsi="Georgia"/>
          <w:color w:val="17365d"/>
          <w:sz w:val="24"/>
          <w:szCs w:val="24"/>
          <w:rtl w:val="0"/>
        </w:rPr>
        <w:t xml:space="preserve">thru 6</w:t>
      </w:r>
      <w:r w:rsidDel="00000000" w:rsidR="00000000" w:rsidRPr="00000000">
        <w:rPr>
          <w:rFonts w:ascii="Georgia" w:cs="Georgia" w:eastAsia="Georgia" w:hAnsi="Georgia"/>
          <w:color w:val="17365d"/>
          <w:sz w:val="24"/>
          <w:szCs w:val="24"/>
          <w:vertAlign w:val="superscript"/>
          <w:rtl w:val="0"/>
        </w:rPr>
        <w:t xml:space="preserve">th </w:t>
      </w:r>
      <w:r w:rsidDel="00000000" w:rsidR="00000000" w:rsidRPr="00000000">
        <w:rPr>
          <w:rFonts w:ascii="Georgia" w:cs="Georgia" w:eastAsia="Georgia" w:hAnsi="Georgia"/>
          <w:color w:val="17365d"/>
          <w:sz w:val="24"/>
          <w:szCs w:val="24"/>
          <w:rtl w:val="0"/>
        </w:rPr>
        <w:t xml:space="preserve">period daily. A student can accumulate up to 6 truancies in a single day. Number of truancy starts over each semester.  </w:t>
      </w:r>
    </w:p>
    <w:p w:rsidR="00000000" w:rsidDel="00000000" w:rsidP="00000000" w:rsidRDefault="00000000" w:rsidRPr="00000000" w14:paraId="00000018">
      <w:pPr>
        <w:numPr>
          <w:ilvl w:val="0"/>
          <w:numId w:val="1"/>
        </w:numPr>
        <w:ind w:left="720" w:hanging="360"/>
        <w:rPr>
          <w:rFonts w:ascii="Georgia" w:cs="Georgia" w:eastAsia="Georgia" w:hAnsi="Georgia"/>
          <w:color w:val="17365d"/>
          <w:sz w:val="24"/>
          <w:szCs w:val="24"/>
        </w:rPr>
      </w:pPr>
      <w:r w:rsidDel="00000000" w:rsidR="00000000" w:rsidRPr="00000000">
        <w:rPr>
          <w:rFonts w:ascii="Georgia" w:cs="Georgia" w:eastAsia="Georgia" w:hAnsi="Georgia"/>
          <w:color w:val="17365d"/>
          <w:sz w:val="24"/>
          <w:szCs w:val="24"/>
          <w:rtl w:val="0"/>
        </w:rPr>
        <w:t xml:space="preserve">No show to detention will result in a day of In-House Suspension for each day missed. </w:t>
      </w:r>
    </w:p>
    <w:p w:rsidR="00000000" w:rsidDel="00000000" w:rsidP="00000000" w:rsidRDefault="00000000" w:rsidRPr="00000000" w14:paraId="00000019">
      <w:pPr>
        <w:numPr>
          <w:ilvl w:val="0"/>
          <w:numId w:val="1"/>
        </w:numPr>
        <w:ind w:left="720" w:hanging="360"/>
        <w:rPr>
          <w:rFonts w:ascii="Georgia" w:cs="Georgia" w:eastAsia="Georgia" w:hAnsi="Georgia"/>
          <w:color w:val="17365d"/>
          <w:sz w:val="24"/>
          <w:szCs w:val="24"/>
        </w:rPr>
      </w:pPr>
      <w:r w:rsidDel="00000000" w:rsidR="00000000" w:rsidRPr="00000000">
        <w:rPr>
          <w:rFonts w:ascii="Georgia" w:cs="Georgia" w:eastAsia="Georgia" w:hAnsi="Georgia"/>
          <w:color w:val="17365d"/>
          <w:sz w:val="24"/>
          <w:szCs w:val="24"/>
          <w:rtl w:val="0"/>
        </w:rPr>
        <w:t xml:space="preserve">Insubordinate behaviors during detention will result in a day of In-House Suspension.</w:t>
      </w:r>
    </w:p>
    <w:p w:rsidR="00000000" w:rsidDel="00000000" w:rsidP="00000000" w:rsidRDefault="00000000" w:rsidRPr="00000000" w14:paraId="0000001A">
      <w:pPr>
        <w:numPr>
          <w:ilvl w:val="0"/>
          <w:numId w:val="1"/>
        </w:numPr>
        <w:ind w:left="720" w:hanging="360"/>
        <w:rPr>
          <w:rFonts w:ascii="Georgia" w:cs="Georgia" w:eastAsia="Georgia" w:hAnsi="Georgia"/>
          <w:color w:val="17365d"/>
          <w:sz w:val="24"/>
          <w:szCs w:val="24"/>
        </w:rPr>
      </w:pPr>
      <w:r w:rsidDel="00000000" w:rsidR="00000000" w:rsidRPr="00000000">
        <w:rPr>
          <w:rFonts w:ascii="Georgia" w:cs="Georgia" w:eastAsia="Georgia" w:hAnsi="Georgia"/>
          <w:color w:val="17365d"/>
          <w:sz w:val="24"/>
          <w:szCs w:val="24"/>
          <w:rtl w:val="0"/>
        </w:rPr>
        <w:t xml:space="preserve">Students who accumulate 11 or more truancies may receive a “denial of credit.”</w:t>
      </w:r>
    </w:p>
    <w:sectPr>
      <w:pgSz w:h="12240" w:w="15840" w:orient="landscape"/>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